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D10 Gemeenteraad Kaag en Braassem, Unaniem aangenomen motie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10-Gemeenteraad-Kaag-en-Braasem-Unaniem-aangenomen-mo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De heer J.G. van Dooren, Ontslagbrief plv griffier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9-De-heer-J-G-van-Dooren-Ontslagbrief-plv-griffier-gemeente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Holland Rijnland stuurgroep Regio Deals, Informatiebrief selectie Regio Deals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8-Holland-Rijnland-stuurgroep-Regio-Deals-Informatiebrief-selectie-Regio-Dea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HLTsamen, kaderbrief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7-HLTsamen-kaderbrief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VNG, ledenbrief 24_004, Wijziging Model Verordening rechtspositie raads- en commissieleden en Model Regeling rechtspositie burgemeester en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6-VNG-ledenbrief-24-004-Wijziging-Model-Verordening-rechtspositie-raads-en-commissieleden-en-Model-Regeling-rechtspositie-burgemeester-en-wethou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VAB, Raadsbrief GR VAB n.a.v. amendement Teylingen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4-VAB-Raadsbrief-GR-VAB-n-a-v-amendement-Tey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Nederlandse Vakbond Pluimveehouders, Gemeente krijgt stempel Hotspot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D05-Nederlandse-Vakbond-Pluimveehouders-Gemeente-krijgt-stempel-Hotspo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C02 Holland Rijnland, regionale investeringsagenda Holland Rijnland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28-maart/19:30/Ingekomen-stukken/C02-Holland-Rijnland-Zienswijze-regionale-investeringsagenda-Holland-Rijn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2" meta:character-count="961" meta:non-whitespace-character-count="8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