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D05 VNG, Lbr. 23_015 Voorbereiding ALV 14 juni 2023 en VNG Verenigingsstrategie 2030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05-VNG-Lbr-23-015-Voorbereiding-ALV-14-juni-2023-en-VNG-Verenigingsstrategie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C02 VRHM, oprichting Stichting Waarborgfonds veiligheidsregio's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C02-VRHM-oprichting-Stichting-Waarborgfonds-veiligheidsregio-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D04 VNG, Lbr. 23_014 Principeakkoord Kabinet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243,65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04-VNG-Lbr-23-014-Principeakkoord-Kabinet-Hervormingsagenda-Jeug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C01 Hecht, concept programmabegroting 2024 en voorlopige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C01-Hecht-concept-programmabegroting-2024-en-voorlopige-jaarstukken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D01 PCN, keurmerk coffeeshops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265,88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01-PCN-keurmerk-coffeeshop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C01.2 Hecht, concept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C01-2-Hecht-concept-jaarstukken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C01.1 Hecht, concept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C01-1-Hecht-concept-programmabegroting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D03 Werkgroep Bollenerfgoed CHG DenB-streek, reactie op weblog Bollenschuren herbouwen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232,45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03-Werkgroep-Bollenerfgoed-CHG-DenB-streek-reactie-op-weblog-Bollenschuren-herb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D02 VNG, Lbr. 23_013 Vraag voor 28 april uitvoeringsmiddelen energietransitie aan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02-VNG-Lbr-23-013-Vraag-voor-28-april-uitvoeringsmiddelen-energietransitie-aa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C05 ODWH, conceptbegroting 2024 en meerjarenraming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C05-ODWH-conceptbegroting-2024-en-meerjarenraming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C04 SO Zorg HR, conceptbegroting organisatiekosten 2024 SO Zorg HR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C04-SO-Zorg-HR-conceptbegroting-organisatiekosten-2024-SO-Zorg-H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B01 Inwoners Hillegom, afschrift brief aan ProRail over spoorwegovergangen in Hillegom en Lisse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B01-Inwoners-Hillegom-afschrift-brief-aan-ProRail-over-spoorwegovergangen-in-Hillegom-en-Lisse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D09 Nationale ombudsman, rapport Burger in Zicht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933,71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D09-Nationale-ombudsman-rapport-Burger-in-Zi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F01 Inwoner Hillegom, reactie op vaststelling omgevingsplan Zandlaan 38-44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F01-Inwoner-Hillegom-reactie-op-vaststelling-omgevingsplan-Zandlaan-38-44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D08 VRHM, planning behandeling voorlopige jaarstukken 2022, kadernota en ontwerpbegroting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616,37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D08-VRHM-planning-behandeling-voorlopige-jaarstukken-2022-kadernota-en-ontwerpbegroting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C03.4 ISD, jaarcijfers 2022 ISD breed en specifiek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C03-4-ISD-jaarcijfers-2022-ISD-breed-en-specifiek-Hillego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C03.3 ISD, begroting 2024 en meerjarenraming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C03-3-ISD-begroting-2024-en-meerjarenraming-2025-202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C03.2 ISD, begrotingswijziging 2023-I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724,28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C03-2-ISD-begrotingswijziging-2023-I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C03.1 ISD,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C03-1-ISD-jaarstukken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C03 ISD, brf programmaverantwoording 2022, begrotingswijz 2023-I en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C03-ISD-brf-programmaverantwoording-2022-begrotingswijz-2023-I-en-programmabegroting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D07 Holland Rijnland, regionale investeringsagenda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11-04-2023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362,48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D07-Holland-Rijnland-regionale-investeringsagen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C02 ODWH, definitieve kadernota 2024 en voorlopige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11-04-2023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C02-ODWH-definitieve-kadernota-2024-en-voorlopige-jaarstukken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D06 Greenport DenB-streek, rol en bijdrage jaarplan Greenport Duin- en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07-04-2023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D06-Greenport-DenB-streek-rol-en-bijdrage-jaarplan-Greenport-Duin-en-Bollenstr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D05 VNG, Lbr. 23_012 LOGA-nr 23_02 Salarisbrief cao 2023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278,62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D05-VNG-Lbr-23-012-LOGA-nr-23-02-Salarisbrief-cao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D04 VNG, Lbr. 23_011 LOGA nr. 23_01 Nieuwe artikelen cao 2023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212,53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D04-VNG-Lbr-23-011-LOGA-nr-23-01-Nieuwe-artikelen-cao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C01 Holland Rijnland, conceptbegroting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C01-Holland-Rijnland-conceptbegroting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D03 De Goede Zaak, oproep voor een menswaardig sociaal minimum op BES-eilanden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D03-De-Goede-Zaak-oproep-voor-een-menswaardig-sociaal-minimum-op-BES-eilan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D02 Rekenkamercommissie Hillegom-Lisse, jaarverslag 2022 en jaarplan 2023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529,36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D02-Rekenkamercommissie-Hillegom-Lisse-jaarverslag-2022-en-jaarplan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422" meta:character-count="2808" meta:non-whitespace-character-count="25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