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250530 Greenport DBS, nieuwsbrief mei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hillegom.nl/Documenten/250530-Greenport-DBS-nieuwsbrief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250522 De Nederlandse Debatclub, nieuwsbrief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Documenten/250522-De-Nederlandse-Debatclub-nieuwsbrief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250521 VNG Omgevingswet, nieuwsbrief Omgevingswet &amp;amp; Wkb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690,40 KB</text:p>
          </table:table-cell>
          <table:table-cell table:style-name="Table3.A2" office:value-type="string">
            <text:p text:style-name="P22">
              <text:a xlink:type="simple" xlink:href="https://gemeenteraad.hillegom.nl/Documenten/250521-VNG-Omgevingswet-nieuwsbrief-Omgevingswet-Wkb-me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250514 KAVB, persbericht presentatie Ambitie Toekomst Bollenvak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245,63 KB</text:p>
          </table:table-cell>
          <table:table-cell table:style-name="Table3.A2" office:value-type="string">
            <text:p text:style-name="P22">
              <text:a xlink:type="simple" xlink:href="https://gemeenteraad.hillegom.nl/Documenten/250514-KAVB-persbericht-presentatie-Ambitie-Toekomst-Bollenv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76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