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College, raadsmail d.d. 16 oktober 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316,62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mail-d-d-16-oktober-2020-inzake-Coronacri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College, Persbericht Holland Rijnland, kaart voor wind- en zonne-energie in HR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Persbericht-Holland-Rijnland-kaart-voor-wind-en-zonne-energie-in-H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 College, Stand van zaken participatie- en re-integratiebeleid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College-Stand-van-zaken-participatie-en-re-integratie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College, Raadsbrief toekomstvisie en businesscase GR KDB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brief-toekomstvisie-en-businesscase-GR-KD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D28 College, Raadsbrief Gevolgen septembercirculaire 2020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8-College-Raadsbrief-Gevolgen-septembercirculaire-2020-gemeente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D27 College, raadsbrief financiële impact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372,25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7-College-raadsbrief-financiele-impact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D24 College, Raadsmail d.d. 02-10-2020 14e noodverordening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4-College-Raadsmail-d-d-02-10-2020-14e-nood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 College, Raadsbrief nieuwe Wet Inburgering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2-College-Raadsbrief-nieuwe-Wet-Inburgering-Hilleg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6" meta:character-count="893" meta:non-whitespace-character-count="8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