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Handreikingen voor politieke partijen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NOC-NSF, De gemeente als 1 grote sporthub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raad.hillegom.nl/Documenten/NOC-NSF-De-gemeente-als-1-grote-sporthu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Unicef, Kinderrechten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225,21 KB</text:p>
          </table:table-cell>
          <table:table-cell table:style-name="Table3.A2" office:value-type="string">
            <text:p text:style-name="P22">
              <text:a xlink:type="simple" xlink:href="https://gemeenteraad.hillegom.nl/Documenten/Unicef-Kinderrech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Jantje Beton, Speelruimte en speelkansen voor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218,49 KB</text:p>
          </table:table-cell>
          <table:table-cell table:style-name="Table3.A2" office:value-type="string">
            <text:p text:style-name="P22">
              <text:a xlink:type="simple" xlink:href="https://gemeenteraad.hillegom.nl/Documenten/Jantje-Beton-Speelruimte-en-speelkansen-voor-kind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Hoogheemraadschap van Rijnland, Leven met water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hillegom.nl/Documenten/Hoogheemraadschap-van-Rijnland-Leven-met-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23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