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Handreikingen voor politieke partijen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Samen Oplopen, whitepaper informele gezinssteun in lokaal preventiebeleid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324,40 KB</text:p>
          </table:table-cell>
          <table:table-cell table:style-name="Table3.A2" office:value-type="string">
            <text:p text:style-name="P22">
              <text:a xlink:type="simple" xlink:href="https://gemeenteraad.hillegom.nl/Documenten/Stichting-Samen-Oplopen-whitepaper-informele-gezinssteun-in-lokaal-preven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Buurtgezinnen, preventieve steun aan gezinnen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hillegom.nl/Documenten/Stichting-Buurtgezinnen-preventieve-steun-aan-gezi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Jeugdfonds Sport en Cultuur, ieder kind moet kunnen sporten of aan kunst en cultuur doen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119,65 KB</text:p>
          </table:table-cell>
          <table:table-cell table:style-name="Table3.A2" office:value-type="string">
            <text:p text:style-name="P22">
              <text:a xlink:type="simple" xlink:href="https://gemeenteraad.hillegom.nl/Documenten/Jeugdfonds-Sport-en-Cultuur-ieder-kind-moet-kunnen-sporten-of-aan-kunst-en-cultuur-do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Makelaars Jong Leren Eten Zuid-Holland,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gemeenteraad.hillegom.nl/Documenten/Makelaars-Jong-Leren-Eten-Zuid-Holland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65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