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GL-D66 Actualisatie Omgevingsvisie - Heroverweging ambitie energieneutraal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715-amendement-GL-D66-Actualisatie-Omgevingsvisie-Heroverweging-ambitie-energieneutr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CDA-BBH-Co Jansen Actualisatie Omgevingsvisie - Streven naar emissieloze teelt
              <text:span text:style-name="T2"/>
            </text:p>
            <text:p text:style-name="P3"/>
          </table:table-cell>
          <table:table-cell table:style-name="Table3.A2" office:value-type="string">
            <text:p text:style-name="P4">18-07-2021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47,62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715-amendement-CDA-BBH-Co-Jansen-Actualisatie-Omgevingsvisie-Streven-naar-emissieloze-tee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BBH-CDA-VVD-Co Jansen Actualisatie Omgevingsvisie - Energieneutraal 2050
              <text:span text:style-name="T2"/>
            </text:p>
            <text:p text:style-name="P3"/>
          </table:table-cell>
          <table:table-cell table:style-name="Table3.A2" office:value-type="string">
            <text:p text:style-name="P4">18-07-2021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63,53 KB</text:p>
          </table:table-cell>
          <table:table-cell table:style-name="Table3.A2" office:value-type="string">
            <text:p text:style-name="P22">
              <text:a xlink:type="simple" xlink:href="https://gemeenteraad.hillegom.nl/documenten/Amendementen/210715-amendement-BBH-CDA-VVD-Co-Jansen-Actualisatie-Omgevingsvisie-Energieneutraal-20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75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